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65" w:rsidRDefault="00DC0D65" w:rsidP="00DC0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Responses related to stigma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stigma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Comfort level of persons recovering coming to church and being identified.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Sistersville- “those people” Us/them-they have to be like us.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Overcoming the stigma and shame of substance use disorder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People are in the closet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If problem does not directly affect me why get involved or why help “those people” if the money goes to drugs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Hopelessness- don’t see a future for themselves.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Overcome and be able to talk openly about it.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education to remove the stigma associated with substance use disorders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Acceptance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Human understanding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discuss freely, invite dialogue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a place to belong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lack of stigma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stigma of abuse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changes in attitude to break the stigma and help families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Breaking the shame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stigma both ways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Judgementalism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The acceptance among community that this is a priority issue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relationship</w:t>
      </w:r>
    </w:p>
    <w:p w:rsidR="00DC0D65" w:rsidRDefault="00DC0D65" w:rsidP="00DC0D65">
      <w:pPr>
        <w:pStyle w:val="ListParagraph"/>
        <w:numPr>
          <w:ilvl w:val="0"/>
          <w:numId w:val="1"/>
        </w:numPr>
      </w:pPr>
      <w:r>
        <w:t>Too late</w:t>
      </w:r>
    </w:p>
    <w:p w:rsidR="001F4898" w:rsidRDefault="001F4898"/>
    <w:p w:rsidR="00DC0D65" w:rsidRPr="00B81B16" w:rsidRDefault="00DC0D65" w:rsidP="00DC0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Responses related to leadership resources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Church support volunteers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experienced leaders and mentors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people to be leaders in the program</w:t>
      </w:r>
    </w:p>
    <w:p w:rsidR="00DC0D65" w:rsidRDefault="00DC0D65" w:rsidP="00DC0D65">
      <w:pPr>
        <w:pStyle w:val="ListParagraph"/>
      </w:pPr>
    </w:p>
    <w:p w:rsidR="00DC0D65" w:rsidRPr="00B74765" w:rsidRDefault="00DC0D65" w:rsidP="00DC0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Responses related to stigma and attitude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Message of hope-convey message of hope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Churches need to love them like Jesus.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acknowledging the problem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Church leadership to gain accepting attitude so it can trickle down.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Hear stories</w:t>
      </w:r>
    </w:p>
    <w:p w:rsidR="00DC0D65" w:rsidRDefault="00DC0D65" w:rsidP="00DC0D65">
      <w:pPr>
        <w:pStyle w:val="ListParagraph"/>
        <w:numPr>
          <w:ilvl w:val="0"/>
          <w:numId w:val="2"/>
        </w:numPr>
      </w:pPr>
      <w:r>
        <w:t>Advocacy- removing stigma</w:t>
      </w:r>
    </w:p>
    <w:p w:rsidR="00DC0D65" w:rsidRDefault="00DC0D65"/>
    <w:p w:rsidR="00954BCC" w:rsidRDefault="00954BCC"/>
    <w:p w:rsidR="00954BCC" w:rsidRPr="00954BCC" w:rsidRDefault="00954BCC" w:rsidP="00954BCC">
      <w:pPr>
        <w:shd w:val="clear" w:color="auto" w:fill="FFFFFF"/>
        <w:spacing w:after="600"/>
        <w:rPr>
          <w:rFonts w:ascii="Arial" w:eastAsia="Times New Roman" w:hAnsi="Arial" w:cs="Arial"/>
          <w:color w:val="666666"/>
        </w:rPr>
      </w:pPr>
      <w:r w:rsidRPr="00954BCC">
        <w:rPr>
          <w:rFonts w:ascii="Arial" w:eastAsia="Times New Roman" w:hAnsi="Arial" w:cs="Arial"/>
          <w:color w:val="666666"/>
        </w:rPr>
        <w:t>To provide guidance on communicating effectively, the Office of National Drug Control Policy released in 2015 a draft of preferred language for referring to addiction-related terms.</w:t>
      </w:r>
    </w:p>
    <w:tbl>
      <w:tblPr>
        <w:tblW w:w="0" w:type="auto"/>
        <w:tblBorders>
          <w:bottom w:val="single" w:sz="6" w:space="0" w:color="F1F1F1"/>
          <w:right w:val="single" w:sz="6" w:space="0" w:color="F1F1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5310"/>
      </w:tblGrid>
      <w:tr w:rsidR="00954BCC" w:rsidRPr="00954BCC" w:rsidTr="00954BCC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lastRenderedPageBreak/>
              <w:t>Stigmatizing Addiction Language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Stigmatizing Language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Preferred Language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Addict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Person with a substance use disorder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Addicted to X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Has a X use disorder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Addiction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Substance use disorder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Alcoholic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Person with an </w:t>
            </w:r>
            <w:hyperlink r:id="rId5" w:history="1">
              <w:r w:rsidRPr="00954BCC">
                <w:rPr>
                  <w:rFonts w:ascii="Arial" w:eastAsia="Times New Roman" w:hAnsi="Arial" w:cs="Arial"/>
                  <w:color w:val="4CC0A8"/>
                  <w:u w:val="single"/>
                </w:rPr>
                <w:t>alcohol use disorder</w:t>
              </w:r>
            </w:hyperlink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Clean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Abstinent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Clean screen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Substance-free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Dirty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Actively using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Dirty screen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Testing positive for substance use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Drug habit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Regular substance use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Drug abuser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Person who uses drugs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lastRenderedPageBreak/>
              <w:t>Reformed addict or alcoholic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Person in recovery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Opioid replacement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44BCD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hyperlink r:id="rId6" w:history="1">
              <w:r w:rsidR="00954BCC" w:rsidRPr="00954BCC">
                <w:rPr>
                  <w:rFonts w:ascii="Arial" w:eastAsia="Times New Roman" w:hAnsi="Arial" w:cs="Arial"/>
                  <w:color w:val="4CC0A8"/>
                  <w:u w:val="single"/>
                </w:rPr>
                <w:t>Medication-assisted treatment</w:t>
              </w:r>
            </w:hyperlink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Recreational or casual user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Person who uses drugs for nonmedical reasons</w:t>
            </w:r>
          </w:p>
        </w:tc>
      </w:tr>
      <w:tr w:rsidR="00954BCC" w:rsidRPr="00954BCC" w:rsidTr="00954BCC"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Experimental user</w:t>
            </w:r>
          </w:p>
        </w:tc>
        <w:tc>
          <w:tcPr>
            <w:tcW w:w="0" w:type="auto"/>
            <w:tcBorders>
              <w:top w:val="single" w:sz="12" w:space="0" w:color="4CC0A8"/>
              <w:left w:val="single" w:sz="12" w:space="0" w:color="4CC0A8"/>
              <w:bottom w:val="single" w:sz="12" w:space="0" w:color="4CC0A8"/>
              <w:right w:val="single" w:sz="12" w:space="0" w:color="4CC0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BCC" w:rsidRPr="00954BCC" w:rsidRDefault="00954BCC" w:rsidP="00954BCC">
            <w:pPr>
              <w:spacing w:before="240" w:after="240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54BCC">
              <w:rPr>
                <w:rFonts w:ascii="Arial" w:eastAsia="Times New Roman" w:hAnsi="Arial" w:cs="Arial"/>
                <w:color w:val="666666"/>
              </w:rPr>
              <w:t>Person who is new to drug use</w:t>
            </w:r>
          </w:p>
        </w:tc>
      </w:tr>
    </w:tbl>
    <w:p w:rsidR="00954BCC" w:rsidRDefault="00954BCC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  <w:r w:rsidRPr="00954BCC">
        <w:rPr>
          <w:rFonts w:ascii="Arial" w:eastAsia="Times New Roman" w:hAnsi="Arial" w:cs="Arial"/>
          <w:color w:val="999999"/>
        </w:rPr>
        <w:t>Source: Office of National Drug Control Policy</w:t>
      </w: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</w:p>
    <w:p w:rsidR="00944BCD" w:rsidRPr="00954BCC" w:rsidRDefault="00944BCD" w:rsidP="00954BCC">
      <w:pPr>
        <w:shd w:val="clear" w:color="auto" w:fill="FFFFFF"/>
        <w:spacing w:before="480" w:after="720"/>
        <w:jc w:val="center"/>
        <w:rPr>
          <w:rFonts w:ascii="Arial" w:eastAsia="Times New Roman" w:hAnsi="Arial" w:cs="Arial"/>
          <w:color w:val="999999"/>
        </w:rPr>
      </w:pPr>
      <w:bookmarkStart w:id="0" w:name="_GoBack"/>
      <w:bookmarkEnd w:id="0"/>
    </w:p>
    <w:p w:rsidR="00944BCD" w:rsidRPr="00944BCD" w:rsidRDefault="00944BCD" w:rsidP="00944BCD">
      <w:pPr>
        <w:numPr>
          <w:ilvl w:val="0"/>
          <w:numId w:val="3"/>
        </w:numPr>
        <w:pBdr>
          <w:top w:val="single" w:sz="12" w:space="24" w:color="4CC0A8"/>
          <w:left w:val="single" w:sz="12" w:space="31" w:color="4CC0A8"/>
          <w:bottom w:val="single" w:sz="12" w:space="24" w:color="4CC0A8"/>
          <w:right w:val="single" w:sz="12" w:space="31" w:color="4CC0A8"/>
        </w:pBd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666666"/>
        </w:rPr>
      </w:pPr>
      <w:r w:rsidRPr="00944BCD">
        <w:rPr>
          <w:rFonts w:ascii="Arial" w:eastAsia="Times New Roman" w:hAnsi="Arial" w:cs="Arial"/>
          <w:color w:val="666666"/>
        </w:rPr>
        <w:t>62 percent would work with someone with a mental illness.</w:t>
      </w:r>
    </w:p>
    <w:p w:rsidR="00944BCD" w:rsidRPr="00944BCD" w:rsidRDefault="00944BCD" w:rsidP="00944BCD">
      <w:pPr>
        <w:numPr>
          <w:ilvl w:val="0"/>
          <w:numId w:val="3"/>
        </w:numPr>
        <w:pBdr>
          <w:top w:val="single" w:sz="12" w:space="24" w:color="4CC0A8"/>
          <w:left w:val="single" w:sz="12" w:space="31" w:color="4CC0A8"/>
          <w:bottom w:val="single" w:sz="12" w:space="24" w:color="4CC0A8"/>
          <w:right w:val="single" w:sz="12" w:space="31" w:color="4CC0A8"/>
        </w:pBd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666666"/>
        </w:rPr>
      </w:pPr>
      <w:r w:rsidRPr="00944BCD">
        <w:rPr>
          <w:rFonts w:ascii="Arial" w:eastAsia="Times New Roman" w:hAnsi="Arial" w:cs="Arial"/>
          <w:color w:val="666666"/>
        </w:rPr>
        <w:t>22 percent would work with someone with a substance use disorder.</w:t>
      </w:r>
    </w:p>
    <w:p w:rsidR="00944BCD" w:rsidRPr="00944BCD" w:rsidRDefault="00944BCD" w:rsidP="00944BCD">
      <w:pPr>
        <w:numPr>
          <w:ilvl w:val="0"/>
          <w:numId w:val="3"/>
        </w:numPr>
        <w:pBdr>
          <w:top w:val="single" w:sz="12" w:space="24" w:color="4CC0A8"/>
          <w:left w:val="single" w:sz="12" w:space="31" w:color="4CC0A8"/>
          <w:bottom w:val="single" w:sz="12" w:space="24" w:color="4CC0A8"/>
          <w:right w:val="single" w:sz="12" w:space="31" w:color="4CC0A8"/>
        </w:pBd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666666"/>
        </w:rPr>
      </w:pPr>
      <w:r w:rsidRPr="00944BCD">
        <w:rPr>
          <w:rFonts w:ascii="Arial" w:eastAsia="Times New Roman" w:hAnsi="Arial" w:cs="Arial"/>
          <w:color w:val="666666"/>
        </w:rPr>
        <w:t>64 percent believed employers should be able to deny employment to people affected by addiction.</w:t>
      </w:r>
    </w:p>
    <w:p w:rsidR="00944BCD" w:rsidRPr="00944BCD" w:rsidRDefault="00944BCD" w:rsidP="00944BCD">
      <w:pPr>
        <w:numPr>
          <w:ilvl w:val="0"/>
          <w:numId w:val="3"/>
        </w:numPr>
        <w:pBdr>
          <w:top w:val="single" w:sz="12" w:space="24" w:color="4CC0A8"/>
          <w:left w:val="single" w:sz="12" w:space="31" w:color="4CC0A8"/>
          <w:bottom w:val="single" w:sz="12" w:space="24" w:color="4CC0A8"/>
          <w:right w:val="single" w:sz="12" w:space="31" w:color="4CC0A8"/>
        </w:pBd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666666"/>
        </w:rPr>
      </w:pPr>
      <w:r w:rsidRPr="00944BCD">
        <w:rPr>
          <w:rFonts w:ascii="Arial" w:eastAsia="Times New Roman" w:hAnsi="Arial" w:cs="Arial"/>
          <w:color w:val="666666"/>
        </w:rPr>
        <w:t>25 percent believed employers should be able to deny employment to those affected by a mental illness.</w:t>
      </w:r>
    </w:p>
    <w:p w:rsidR="00944BCD" w:rsidRPr="00944BCD" w:rsidRDefault="00944BCD" w:rsidP="00944BCD">
      <w:pPr>
        <w:numPr>
          <w:ilvl w:val="0"/>
          <w:numId w:val="3"/>
        </w:numPr>
        <w:pBdr>
          <w:top w:val="single" w:sz="12" w:space="24" w:color="4CC0A8"/>
          <w:left w:val="single" w:sz="12" w:space="31" w:color="4CC0A8"/>
          <w:bottom w:val="single" w:sz="12" w:space="24" w:color="4CC0A8"/>
          <w:right w:val="single" w:sz="12" w:space="31" w:color="4CC0A8"/>
        </w:pBd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666666"/>
        </w:rPr>
      </w:pPr>
      <w:r w:rsidRPr="00944BCD">
        <w:rPr>
          <w:rFonts w:ascii="Arial" w:eastAsia="Times New Roman" w:hAnsi="Arial" w:cs="Arial"/>
          <w:color w:val="666666"/>
        </w:rPr>
        <w:t>43 percent opposed giving individuals with substance use disorders the same health insurance benefits granted to otherwise healthy individuals.</w:t>
      </w:r>
    </w:p>
    <w:p w:rsidR="00944BCD" w:rsidRPr="00944BCD" w:rsidRDefault="00944BCD" w:rsidP="00944BCD">
      <w:pPr>
        <w:numPr>
          <w:ilvl w:val="0"/>
          <w:numId w:val="3"/>
        </w:numPr>
        <w:pBdr>
          <w:top w:val="single" w:sz="12" w:space="24" w:color="4CC0A8"/>
          <w:left w:val="single" w:sz="12" w:space="31" w:color="4CC0A8"/>
          <w:bottom w:val="single" w:sz="12" w:space="24" w:color="4CC0A8"/>
          <w:right w:val="single" w:sz="12" w:space="31" w:color="4CC0A8"/>
        </w:pBd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666666"/>
        </w:rPr>
      </w:pPr>
      <w:r w:rsidRPr="00944BCD">
        <w:rPr>
          <w:rFonts w:ascii="Arial" w:eastAsia="Times New Roman" w:hAnsi="Arial" w:cs="Arial"/>
          <w:color w:val="666666"/>
        </w:rPr>
        <w:t>21 percent opposed giving those with mental illness the same health insurance benefits given to otherwise healthy individuals.</w:t>
      </w:r>
    </w:p>
    <w:p w:rsidR="00954BCC" w:rsidRDefault="00954BCC"/>
    <w:sectPr w:rsidR="00954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306"/>
    <w:multiLevelType w:val="multilevel"/>
    <w:tmpl w:val="D14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63933"/>
    <w:multiLevelType w:val="hybridMultilevel"/>
    <w:tmpl w:val="D576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0E93"/>
    <w:multiLevelType w:val="hybridMultilevel"/>
    <w:tmpl w:val="1908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5"/>
    <w:rsid w:val="001F4898"/>
    <w:rsid w:val="00944BCD"/>
    <w:rsid w:val="00954BCC"/>
    <w:rsid w:val="00D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3F2AC"/>
  <w15:chartTrackingRefBased/>
  <w15:docId w15:val="{17F0DFBF-F46F-471C-AF25-10A27E1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D65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6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grehab.com/treatment/medication-assisted/" TargetMode="External"/><Relationship Id="rId5" Type="http://schemas.openxmlformats.org/officeDocument/2006/relationships/hyperlink" Target="https://www.drugrehab.com/addiction/alcoh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Colder</dc:creator>
  <cp:keywords/>
  <dc:description/>
  <cp:lastModifiedBy>Karl Colder</cp:lastModifiedBy>
  <cp:revision>3</cp:revision>
  <cp:lastPrinted>2017-09-12T21:01:00Z</cp:lastPrinted>
  <dcterms:created xsi:type="dcterms:W3CDTF">2017-09-12T20:45:00Z</dcterms:created>
  <dcterms:modified xsi:type="dcterms:W3CDTF">2017-09-12T21:03:00Z</dcterms:modified>
</cp:coreProperties>
</file>